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E87E5F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730AEE" w:rsidP="00624E2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624E26" w:rsidRPr="00C431E2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E66CB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Pr="00C431E2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8E2B2B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8E2B2B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8E2B2B">
        <w:rPr>
          <w:rFonts w:ascii="Arial" w:hAnsi="Arial" w:cs="Arial"/>
          <w:sz w:val="24"/>
          <w:szCs w:val="24"/>
        </w:rPr>
        <w:t>jest specyfikacja techniczna</w:t>
      </w:r>
      <w:r w:rsidR="000E3D13" w:rsidRPr="008E2B2B">
        <w:rPr>
          <w:rFonts w:ascii="Arial" w:hAnsi="Arial" w:cs="Arial"/>
          <w:sz w:val="24"/>
          <w:szCs w:val="24"/>
        </w:rPr>
        <w:t xml:space="preserve"> dla </w:t>
      </w:r>
      <w:r w:rsidR="000A25AA">
        <w:rPr>
          <w:rFonts w:ascii="Arial" w:hAnsi="Arial" w:cs="Arial"/>
          <w:sz w:val="24"/>
          <w:szCs w:val="24"/>
        </w:rPr>
        <w:t>samochodu typu furgon</w:t>
      </w:r>
      <w:r w:rsidR="00FA1F1E">
        <w:rPr>
          <w:rFonts w:ascii="Arial" w:hAnsi="Arial" w:cs="Arial"/>
          <w:sz w:val="24"/>
          <w:szCs w:val="24"/>
        </w:rPr>
        <w:t xml:space="preserve"> </w:t>
      </w:r>
      <w:r w:rsidR="00BE25A0">
        <w:rPr>
          <w:rFonts w:ascii="Arial" w:hAnsi="Arial" w:cs="Arial"/>
          <w:sz w:val="24"/>
          <w:szCs w:val="24"/>
        </w:rPr>
        <w:t>wypadowy</w:t>
      </w:r>
      <w:r w:rsidR="00FA1F1E">
        <w:rPr>
          <w:rFonts w:ascii="Arial" w:hAnsi="Arial" w:cs="Arial"/>
          <w:sz w:val="24"/>
          <w:szCs w:val="24"/>
        </w:rPr>
        <w:t xml:space="preserve"> </w:t>
      </w:r>
      <w:r w:rsidR="000A25AA">
        <w:rPr>
          <w:rFonts w:ascii="Arial" w:hAnsi="Arial" w:cs="Arial"/>
          <w:sz w:val="24"/>
          <w:szCs w:val="24"/>
        </w:rPr>
        <w:t>w wersji oznakowanej</w:t>
      </w:r>
      <w:r w:rsidR="008E2B2B">
        <w:rPr>
          <w:rFonts w:ascii="Arial" w:hAnsi="Arial" w:cs="Arial"/>
          <w:sz w:val="24"/>
          <w:szCs w:val="24"/>
        </w:rPr>
        <w:t>.</w:t>
      </w:r>
      <w:r w:rsidR="00B66BB0" w:rsidRPr="008E2B2B">
        <w:rPr>
          <w:rFonts w:ascii="Arial" w:hAnsi="Arial" w:cs="Arial"/>
          <w:sz w:val="24"/>
          <w:szCs w:val="24"/>
        </w:rPr>
        <w:t xml:space="preserve"> </w:t>
      </w:r>
    </w:p>
    <w:p w:rsidR="002674A5" w:rsidRPr="008E2B2B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A55E61" w:rsidRPr="008E2B2B" w:rsidRDefault="00A55E61" w:rsidP="00A55E61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Kryptonim pojazdu.</w:t>
      </w:r>
    </w:p>
    <w:p w:rsidR="00A55E61" w:rsidRPr="008E2B2B" w:rsidRDefault="00A55E61" w:rsidP="00A55E61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A55E61" w:rsidRPr="008E2B2B" w:rsidRDefault="00A55E61" w:rsidP="00A55E61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A55E61" w:rsidRPr="008E2B2B" w:rsidRDefault="00A55E61" w:rsidP="00A55E61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A55E61" w:rsidRPr="008E2B2B" w:rsidRDefault="00A55E61" w:rsidP="00A55E61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A55E61" w:rsidRPr="008E2B2B" w:rsidRDefault="00A55E61" w:rsidP="00A55E61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>(</w:t>
      </w:r>
      <w:proofErr w:type="spellStart"/>
      <w:r w:rsidRPr="008E2B2B">
        <w:rPr>
          <w:rFonts w:ascii="Arial" w:hAnsi="Arial" w:cs="Arial"/>
        </w:rPr>
        <w:t>Dz.U.UE.L</w:t>
      </w:r>
      <w:proofErr w:type="spellEnd"/>
      <w:r w:rsidRPr="008E2B2B">
        <w:rPr>
          <w:rFonts w:ascii="Arial" w:hAnsi="Arial" w:cs="Arial"/>
        </w:rPr>
        <w:t xml:space="preserve">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A55E61" w:rsidRPr="000A37E8" w:rsidRDefault="00A55E61" w:rsidP="000A37E8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A55E61" w:rsidRPr="008E2B2B" w:rsidRDefault="00A55E61" w:rsidP="00A55E61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A55E61" w:rsidRPr="008E2B2B" w:rsidRDefault="00A55E61" w:rsidP="00A55E61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A55E61" w:rsidRPr="008E2B2B" w:rsidRDefault="00A55E61" w:rsidP="00A55E61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A55E61" w:rsidRPr="008E2B2B" w:rsidRDefault="00A55E61" w:rsidP="00A55E61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A55E61" w:rsidRPr="008E2B2B" w:rsidRDefault="00A55E61" w:rsidP="00A55E61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A55E61" w:rsidRPr="008E2B2B" w:rsidRDefault="00A55E61" w:rsidP="00A55E61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A55E61" w:rsidRPr="008E2B2B" w:rsidRDefault="00BE25A0" w:rsidP="00BE25A0">
      <w:pPr>
        <w:widowControl w:val="0"/>
        <w:suppressAutoHyphens/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E25A0">
        <w:rPr>
          <w:rFonts w:ascii="Arial" w:hAnsi="Arial" w:cs="Arial"/>
          <w:b/>
          <w:sz w:val="24"/>
          <w:szCs w:val="24"/>
          <w:lang w:eastAsia="ar-SA"/>
        </w:rPr>
        <w:t xml:space="preserve">Spełnienie wymagań określonych w ust. 4  musi być potwierdzone oświadczeniem Wykonawcy. Dokument potwierdzający spełnienie wymogu musi być przekazany Zamawiającemu przez Wykonawcę w fazie oceny projektu </w:t>
      </w:r>
      <w:r w:rsidRPr="00BE25A0">
        <w:rPr>
          <w:rFonts w:ascii="Arial" w:hAnsi="Arial" w:cs="Arial"/>
          <w:b/>
          <w:sz w:val="24"/>
          <w:szCs w:val="24"/>
          <w:lang w:eastAsia="ar-SA"/>
        </w:rPr>
        <w:lastRenderedPageBreak/>
        <w:t>modyfikacji pojazdu</w:t>
      </w:r>
      <w:r w:rsidRPr="00BE25A0">
        <w:rPr>
          <w:rFonts w:ascii="Arial" w:hAnsi="Arial" w:cs="Arial"/>
          <w:sz w:val="24"/>
          <w:szCs w:val="24"/>
          <w:lang w:eastAsia="ar-SA"/>
        </w:rPr>
        <w:t>.</w:t>
      </w:r>
    </w:p>
    <w:p w:rsidR="00A55E61" w:rsidRPr="008E2B2B" w:rsidRDefault="00A55E61" w:rsidP="00A55E61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A55E61" w:rsidRPr="008E2B2B" w:rsidRDefault="00A55E61" w:rsidP="00A55E61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A55E61" w:rsidRPr="008E2B2B" w:rsidRDefault="00A55E61" w:rsidP="00A55E61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A55E61" w:rsidRPr="008E2B2B" w:rsidRDefault="00A55E61" w:rsidP="00A55E61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Wymagania formalne.</w:t>
      </w:r>
    </w:p>
    <w:p w:rsidR="00A55E61" w:rsidRPr="008E2B2B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spełniać wymagania określone w Rozporządzeniu </w:t>
      </w:r>
      <w:r w:rsidRPr="008E2B2B">
        <w:rPr>
          <w:rFonts w:ascii="Arial" w:hAnsi="Arial" w:cs="Arial"/>
          <w:bCs/>
          <w:sz w:val="24"/>
          <w:szCs w:val="24"/>
        </w:rPr>
        <w:t xml:space="preserve">Ministrów: Spraw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</w:r>
      <w:r w:rsidRPr="008E2B2B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Straży Pożarnej</w:t>
      </w:r>
      <w:r w:rsidRPr="008E2B2B">
        <w:rPr>
          <w:rFonts w:ascii="Arial" w:hAnsi="Arial" w:cs="Arial"/>
          <w:sz w:val="24"/>
          <w:szCs w:val="24"/>
        </w:rPr>
        <w:t xml:space="preserve"> (</w:t>
      </w:r>
      <w:r w:rsidRPr="008E2B2B">
        <w:rPr>
          <w:rStyle w:val="h11"/>
          <w:rFonts w:ascii="Arial" w:hAnsi="Arial" w:cs="Arial"/>
          <w:b w:val="0"/>
          <w:sz w:val="24"/>
          <w:szCs w:val="24"/>
        </w:rPr>
        <w:t>Dz.U. 2019, poz. 594</w:t>
      </w:r>
      <w:r w:rsidRPr="008E2B2B">
        <w:rPr>
          <w:rFonts w:ascii="Arial" w:hAnsi="Arial" w:cs="Arial"/>
          <w:sz w:val="24"/>
          <w:szCs w:val="24"/>
        </w:rPr>
        <w:t>).</w:t>
      </w:r>
    </w:p>
    <w:p w:rsidR="00A55E61" w:rsidRPr="001661DC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9C7CF6">
        <w:rPr>
          <w:rFonts w:ascii="Arial" w:hAnsi="Arial" w:cs="Arial"/>
          <w:sz w:val="24"/>
          <w:szCs w:val="24"/>
          <w:lang w:eastAsia="ar-SA"/>
        </w:rPr>
        <w:t xml:space="preserve"> </w:t>
      </w:r>
      <w:bookmarkStart w:id="0" w:name="_Hlk199756657"/>
      <w:r w:rsidR="009C7CF6">
        <w:rPr>
          <w:rFonts w:ascii="Arial" w:hAnsi="Arial" w:cs="Arial"/>
          <w:sz w:val="24"/>
          <w:szCs w:val="24"/>
          <w:lang w:eastAsia="ar-SA"/>
        </w:rPr>
        <w:t>(tekst jedn. Dz. U. 202</w:t>
      </w:r>
      <w:r w:rsidR="00A71EEC">
        <w:rPr>
          <w:rFonts w:ascii="Arial" w:hAnsi="Arial" w:cs="Arial"/>
          <w:sz w:val="24"/>
          <w:szCs w:val="24"/>
          <w:lang w:eastAsia="ar-SA"/>
        </w:rPr>
        <w:t>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9C7CF6">
        <w:rPr>
          <w:rFonts w:ascii="Arial" w:hAnsi="Arial" w:cs="Arial"/>
          <w:sz w:val="24"/>
          <w:szCs w:val="24"/>
          <w:lang w:eastAsia="ar-SA"/>
        </w:rPr>
        <w:t>, poz. 1</w:t>
      </w:r>
      <w:r w:rsidR="00A71EEC">
        <w:rPr>
          <w:rFonts w:ascii="Arial" w:hAnsi="Arial" w:cs="Arial"/>
          <w:sz w:val="24"/>
          <w:szCs w:val="24"/>
          <w:lang w:eastAsia="ar-SA"/>
        </w:rPr>
        <w:t>251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>. zm.)</w:t>
      </w:r>
      <w:bookmarkEnd w:id="0"/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</w:t>
      </w:r>
      <w:r w:rsidR="003F2DD3" w:rsidRPr="00C020F6">
        <w:rPr>
          <w:rFonts w:ascii="Arial" w:hAnsi="Arial" w:cs="Arial"/>
          <w:sz w:val="24"/>
          <w:szCs w:val="24"/>
        </w:rPr>
        <w:t xml:space="preserve">Parlamentu Europejskiego i Rady (UE) 2018/858/WE z dnia </w:t>
      </w:r>
      <w:r w:rsidR="003F2DD3">
        <w:rPr>
          <w:rFonts w:ascii="Arial" w:hAnsi="Arial" w:cs="Arial"/>
          <w:sz w:val="24"/>
          <w:szCs w:val="24"/>
        </w:rPr>
        <w:br/>
      </w:r>
      <w:r w:rsidR="003F2DD3" w:rsidRPr="00C020F6">
        <w:rPr>
          <w:rFonts w:ascii="Arial" w:hAnsi="Arial" w:cs="Arial"/>
          <w:sz w:val="24"/>
          <w:szCs w:val="24"/>
        </w:rPr>
        <w:t xml:space="preserve">30 maja 2018 r. </w:t>
      </w:r>
      <w:r w:rsidR="003F2DD3" w:rsidRPr="003F2DD3">
        <w:rPr>
          <w:rFonts w:ascii="Arial" w:hAnsi="Arial" w:cs="Arial"/>
          <w:i/>
          <w:sz w:val="24"/>
          <w:szCs w:val="24"/>
        </w:rPr>
        <w:t xml:space="preserve">w sprawie homologacji i nadzoru rynku pojazdów silnikowych i ich przyczep oraz układów, komponentów i oddzielnych zespołów technicznych przeznaczonych do tych pojazdów, zmieniające rozporządzenie (WE) nr 715/2007 </w:t>
      </w:r>
      <w:r w:rsidR="003F2DD3">
        <w:rPr>
          <w:rFonts w:ascii="Arial" w:hAnsi="Arial" w:cs="Arial"/>
          <w:i/>
          <w:sz w:val="24"/>
          <w:szCs w:val="24"/>
        </w:rPr>
        <w:br/>
      </w:r>
      <w:r w:rsidR="003F2DD3" w:rsidRPr="003F2DD3">
        <w:rPr>
          <w:rFonts w:ascii="Arial" w:hAnsi="Arial" w:cs="Arial"/>
          <w:i/>
          <w:sz w:val="24"/>
          <w:szCs w:val="24"/>
        </w:rPr>
        <w:t>i (WE) nr 595/2009 oraz uchylające dyrektywę 2007/46/WE</w:t>
      </w:r>
      <w:r w:rsidRPr="003F2DD3">
        <w:rPr>
          <w:rFonts w:ascii="Arial" w:hAnsi="Arial" w:cs="Arial"/>
          <w:i/>
          <w:sz w:val="24"/>
          <w:szCs w:val="24"/>
          <w:lang w:eastAsia="en-US"/>
        </w:rPr>
        <w:t>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A55E61" w:rsidRPr="008E2B2B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w zakresie uprzywilejowania i oznakowania musi spełniać wymagania określone w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Rozporządzeniu Ministra Infrastruktury z dnia 31 grudnia 2002 r.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br/>
        <w:t>w sprawie warunków technicznych pojazdów oraz ich niezbędnego wyposażenia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(tekst jedn. </w:t>
      </w:r>
      <w:r w:rsidR="009C7CF6">
        <w:rPr>
          <w:rStyle w:val="h1"/>
          <w:rFonts w:ascii="Arial" w:hAnsi="Arial" w:cs="Arial"/>
          <w:sz w:val="24"/>
          <w:szCs w:val="24"/>
        </w:rPr>
        <w:t>Dz.U. 2024</w:t>
      </w:r>
      <w:r w:rsidRPr="008E2B2B">
        <w:rPr>
          <w:rStyle w:val="h1"/>
          <w:rFonts w:ascii="Arial" w:hAnsi="Arial" w:cs="Arial"/>
          <w:sz w:val="24"/>
          <w:szCs w:val="24"/>
        </w:rPr>
        <w:t xml:space="preserve"> poz. </w:t>
      </w:r>
      <w:r w:rsidR="009C7CF6">
        <w:rPr>
          <w:rStyle w:val="h1"/>
          <w:rFonts w:ascii="Arial" w:hAnsi="Arial" w:cs="Arial"/>
          <w:sz w:val="24"/>
          <w:szCs w:val="24"/>
        </w:rPr>
        <w:t>502</w:t>
      </w:r>
      <w:r w:rsidRPr="008E2B2B">
        <w:rPr>
          <w:rFonts w:ascii="Arial" w:hAnsi="Arial" w:cs="Arial"/>
          <w:sz w:val="24"/>
          <w:szCs w:val="24"/>
          <w:lang w:eastAsia="ar-SA"/>
        </w:rPr>
        <w:t>,  ze zm.).</w:t>
      </w:r>
    </w:p>
    <w:p w:rsidR="00BE25A0" w:rsidRPr="00BE25A0" w:rsidRDefault="00A55E61" w:rsidP="00BE25A0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E25A0">
        <w:rPr>
          <w:rFonts w:ascii="Arial" w:hAnsi="Arial" w:cs="Arial"/>
          <w:sz w:val="24"/>
          <w:szCs w:val="24"/>
          <w:lang w:eastAsia="ar-SA"/>
        </w:rPr>
        <w:t xml:space="preserve">Każdy </w:t>
      </w:r>
      <w:r w:rsidR="00BE25A0" w:rsidRPr="00BE25A0">
        <w:rPr>
          <w:rFonts w:ascii="Arial" w:hAnsi="Arial" w:cs="Arial"/>
          <w:sz w:val="24"/>
          <w:szCs w:val="24"/>
          <w:lang w:eastAsia="ar-SA"/>
        </w:rPr>
        <w:t>pojazd musi posiadać zaświadczenie z upoważnionej stacji kontroli pojazdów wraz z opisem zakresu zmian dokonanych w pojeździe, w tym, co najmniej zmian: rodzaju pojazdu, masy własnej, liczby miejsc siedzących oraz o przeprowadzeniu badań technicznych przed dopuszczeniem do ruchu pojazdu uprzywilejowanego po zabudowie zgodnie z ustawą Prawo o ruchu drogowym. (tekst jedn. Dz. U. 2024 r., poz. 1251, ze. zm.)</w:t>
      </w:r>
    </w:p>
    <w:p w:rsidR="00BE25A0" w:rsidRPr="00BE25A0" w:rsidRDefault="00BE25A0" w:rsidP="00BE25A0">
      <w:pPr>
        <w:widowControl w:val="0"/>
        <w:suppressAutoHyphens/>
        <w:spacing w:line="360" w:lineRule="auto"/>
        <w:ind w:left="720"/>
        <w:contextualSpacing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BE25A0">
        <w:rPr>
          <w:rFonts w:ascii="Arial" w:hAnsi="Arial" w:cs="Arial"/>
          <w:b/>
          <w:bCs/>
          <w:sz w:val="24"/>
          <w:szCs w:val="24"/>
          <w:lang w:eastAsia="ar-SA"/>
        </w:rPr>
        <w:t xml:space="preserve">Dokumenty potwierdzające spełnienie wymogu muszą być przekazane Zamawiającemu przez Wykonawcę w fazie oceny projektu modyfikacji pojazdu. Ponadto w fazie odbiorów pojazdów Wykonawca dołączy do każdego z </w:t>
      </w:r>
      <w:r w:rsidRPr="00BE25A0">
        <w:rPr>
          <w:rFonts w:ascii="Arial" w:hAnsi="Arial" w:cs="Arial"/>
          <w:b/>
          <w:bCs/>
          <w:sz w:val="24"/>
          <w:szCs w:val="24"/>
          <w:lang w:eastAsia="ar-SA"/>
        </w:rPr>
        <w:lastRenderedPageBreak/>
        <w:t>dostarczonych pojazdów badanie techniczne pojazdu wydane przez uprawnioną stację kontroli pojazdów.</w:t>
      </w:r>
    </w:p>
    <w:p w:rsidR="00BE25A0" w:rsidRPr="00BE25A0" w:rsidRDefault="00A55E61" w:rsidP="00AB0324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BE25A0">
        <w:rPr>
          <w:rFonts w:ascii="Arial" w:hAnsi="Arial" w:cs="Arial"/>
          <w:sz w:val="24"/>
          <w:szCs w:val="24"/>
          <w:lang w:eastAsia="ar-SA"/>
        </w:rPr>
        <w:t xml:space="preserve">Wszystkie podzespoły elektryczne i elektroniczne montowane dodatkowo muszą posiadać świadectwo homologacji na zgodność z </w:t>
      </w:r>
      <w:r w:rsidRPr="00BE25A0">
        <w:rPr>
          <w:rFonts w:ascii="Arial" w:hAnsi="Arial" w:cs="Arial"/>
          <w:i/>
          <w:sz w:val="24"/>
          <w:szCs w:val="24"/>
          <w:lang w:eastAsia="ar-SA"/>
        </w:rPr>
        <w:t>Regulaminem 10 EKG/ONZ</w:t>
      </w:r>
      <w:r w:rsidRPr="00BE25A0">
        <w:rPr>
          <w:rFonts w:ascii="Arial" w:hAnsi="Arial" w:cs="Arial"/>
          <w:sz w:val="24"/>
          <w:szCs w:val="24"/>
          <w:lang w:eastAsia="ar-SA"/>
        </w:rPr>
        <w:t>. Warunek dotyczy podzespołów przymocowanych mechanicznie do pojazdu</w:t>
      </w:r>
      <w:r w:rsidRPr="00BE25A0">
        <w:rPr>
          <w:rFonts w:ascii="Arial" w:hAnsi="Arial" w:cs="Arial"/>
          <w:sz w:val="24"/>
          <w:szCs w:val="24"/>
          <w:lang w:eastAsia="ar-SA"/>
        </w:rPr>
        <w:br/>
        <w:t>(bez możliwości rozmontowania lub wymontowania bez użycia narzędzi), których użycie nie jest ograniczone do pojazdu nieruchomego z wyłączeniem podzespołów zamontowanych fabrycznie przez producenta pojazdu i uwzględnionych</w:t>
      </w:r>
      <w:r w:rsidRPr="00BE25A0">
        <w:rPr>
          <w:rFonts w:ascii="Arial" w:hAnsi="Arial" w:cs="Arial"/>
          <w:sz w:val="24"/>
          <w:szCs w:val="24"/>
          <w:lang w:eastAsia="ar-SA"/>
        </w:rPr>
        <w:br/>
        <w:t xml:space="preserve">w homologacji pojazdu oraz sprzętu łączności. </w:t>
      </w:r>
      <w:r w:rsidR="00BE25A0" w:rsidRPr="00BE25A0">
        <w:rPr>
          <w:rFonts w:ascii="Arial" w:hAnsi="Arial" w:cs="Arial"/>
          <w:sz w:val="24"/>
          <w:szCs w:val="24"/>
          <w:lang w:eastAsia="ar-SA"/>
        </w:rPr>
        <w:t>Zamawiający dopuszcza potwierdzenie spełnienia wymogu poprzez przeprowadzenie badania cało pojazdowego wykonanego przez akredytowaną jednostkę badawczą.</w:t>
      </w:r>
    </w:p>
    <w:p w:rsidR="00BE25A0" w:rsidRPr="00BE25A0" w:rsidRDefault="00BE25A0" w:rsidP="00BE25A0">
      <w:pPr>
        <w:widowControl w:val="0"/>
        <w:suppressAutoHyphens/>
        <w:spacing w:line="360" w:lineRule="auto"/>
        <w:ind w:left="720"/>
        <w:contextualSpacing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BE25A0">
        <w:rPr>
          <w:rFonts w:ascii="Arial" w:hAnsi="Arial" w:cs="Arial"/>
          <w:b/>
          <w:bCs/>
          <w:sz w:val="24"/>
          <w:szCs w:val="24"/>
          <w:lang w:eastAsia="ar-SA"/>
        </w:rPr>
        <w:t>Spełnienie wymogu musi być potwierdzone oświadczeniem Wykonawcy wystawionym na podstawie dokumentacji homologacyjnej lub sprawozdania z badania cało pojazdowego wydanego dla pojazdu reprezentatywnego przez jednostkę uprawnioną do badań homologacyjnych w ww. zakresie.</w:t>
      </w:r>
    </w:p>
    <w:p w:rsidR="006B1FEE" w:rsidRPr="006B1FEE" w:rsidRDefault="00A55E61" w:rsidP="006B1FEE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 w:bidi="pl-PL"/>
        </w:rPr>
      </w:pPr>
      <w:bookmarkStart w:id="1" w:name="_GoBack"/>
      <w:bookmarkEnd w:id="1"/>
      <w:r w:rsidRPr="006B1FEE">
        <w:rPr>
          <w:rFonts w:ascii="Arial" w:hAnsi="Arial" w:cs="Arial"/>
          <w:sz w:val="24"/>
          <w:szCs w:val="24"/>
          <w:lang w:eastAsia="ar-SA"/>
        </w:rPr>
        <w:t xml:space="preserve">Urządzenia </w:t>
      </w:r>
      <w:r w:rsidR="006B1FEE" w:rsidRPr="006B1FEE">
        <w:rPr>
          <w:rFonts w:ascii="Arial" w:hAnsi="Arial" w:cs="Arial"/>
          <w:sz w:val="24"/>
          <w:szCs w:val="24"/>
          <w:lang w:eastAsia="ar-SA" w:bidi="pl-PL"/>
        </w:rPr>
        <w:t>świetlne sygnalizacji uprzywilejowania emitujące światło koloru niebieskiego i czerwonego muszą posiadać świadectwo homologacji na zgodność</w:t>
      </w:r>
      <w:r w:rsidR="006B1FEE">
        <w:rPr>
          <w:rFonts w:ascii="Arial" w:hAnsi="Arial" w:cs="Arial"/>
          <w:sz w:val="24"/>
          <w:szCs w:val="24"/>
          <w:lang w:eastAsia="ar-SA" w:bidi="pl-PL"/>
        </w:rPr>
        <w:t xml:space="preserve">            </w:t>
      </w:r>
      <w:r w:rsidR="006B1FEE" w:rsidRPr="006B1FEE">
        <w:rPr>
          <w:rFonts w:ascii="Arial" w:hAnsi="Arial" w:cs="Arial"/>
          <w:sz w:val="24"/>
          <w:szCs w:val="24"/>
          <w:lang w:eastAsia="ar-SA" w:bidi="pl-PL"/>
        </w:rPr>
        <w:t xml:space="preserve"> z Regulaminem 65 EKG ONZ dla klasy 2.</w:t>
      </w:r>
    </w:p>
    <w:p w:rsidR="006B1FEE" w:rsidRPr="006B1FEE" w:rsidRDefault="006B1FEE" w:rsidP="006B1FEE">
      <w:pPr>
        <w:widowControl w:val="0"/>
        <w:suppressAutoHyphens/>
        <w:spacing w:line="360" w:lineRule="auto"/>
        <w:ind w:left="720"/>
        <w:contextualSpacing/>
        <w:jc w:val="both"/>
        <w:rPr>
          <w:rFonts w:ascii="Arial" w:hAnsi="Arial" w:cs="Arial"/>
          <w:b/>
          <w:bCs/>
          <w:sz w:val="24"/>
          <w:szCs w:val="24"/>
          <w:lang w:eastAsia="ar-SA" w:bidi="pl-PL"/>
        </w:rPr>
      </w:pPr>
      <w:r w:rsidRPr="006B1FEE">
        <w:rPr>
          <w:rFonts w:ascii="Arial" w:hAnsi="Arial" w:cs="Arial"/>
          <w:b/>
          <w:bCs/>
          <w:sz w:val="24"/>
          <w:szCs w:val="24"/>
          <w:lang w:eastAsia="ar-SA" w:bidi="pl-PL"/>
        </w:rPr>
        <w:t>Dokumenty potwierdzające spełnienie wymogu muszą być przekazane Zamawiającemu przez Wykonawcę w fazie oceny projektu modyfikacji pojazdu.</w:t>
      </w:r>
    </w:p>
    <w:p w:rsidR="00A55E61" w:rsidRPr="006B1FEE" w:rsidRDefault="00A55E61" w:rsidP="00155DBE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6B1FEE">
        <w:rPr>
          <w:rFonts w:ascii="Arial" w:hAnsi="Arial" w:cs="Arial"/>
          <w:sz w:val="24"/>
          <w:szCs w:val="24"/>
          <w:lang w:eastAsia="ar-SA"/>
        </w:rPr>
        <w:t>Dostarczane pojazdy muszą mieć wykonan</w:t>
      </w:r>
      <w:r w:rsidR="006B1FEE">
        <w:rPr>
          <w:rFonts w:ascii="Arial" w:hAnsi="Arial" w:cs="Arial"/>
          <w:sz w:val="24"/>
          <w:szCs w:val="24"/>
          <w:lang w:eastAsia="ar-SA"/>
        </w:rPr>
        <w:t>e</w:t>
      </w:r>
      <w:r w:rsidRPr="006B1FEE">
        <w:rPr>
          <w:rFonts w:ascii="Arial" w:hAnsi="Arial" w:cs="Arial"/>
          <w:sz w:val="24"/>
          <w:szCs w:val="24"/>
          <w:lang w:eastAsia="ar-SA"/>
        </w:rPr>
        <w:t xml:space="preserve"> przez Wykonawcę i na jego koszt przegląd</w:t>
      </w:r>
      <w:r w:rsidR="006B1FEE">
        <w:rPr>
          <w:rFonts w:ascii="Arial" w:hAnsi="Arial" w:cs="Arial"/>
          <w:sz w:val="24"/>
          <w:szCs w:val="24"/>
          <w:lang w:eastAsia="ar-SA"/>
        </w:rPr>
        <w:t>y</w:t>
      </w:r>
      <w:r w:rsidRPr="006B1FEE">
        <w:rPr>
          <w:rFonts w:ascii="Arial" w:hAnsi="Arial" w:cs="Arial"/>
          <w:sz w:val="24"/>
          <w:szCs w:val="24"/>
          <w:lang w:eastAsia="ar-SA"/>
        </w:rPr>
        <w:t xml:space="preserve"> zerow</w:t>
      </w:r>
      <w:r w:rsidR="006B1FEE">
        <w:rPr>
          <w:rFonts w:ascii="Arial" w:hAnsi="Arial" w:cs="Arial"/>
          <w:sz w:val="24"/>
          <w:szCs w:val="24"/>
          <w:lang w:eastAsia="ar-SA"/>
        </w:rPr>
        <w:t>e</w:t>
      </w:r>
      <w:r w:rsidRPr="006B1FEE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6B1FEE">
        <w:rPr>
          <w:rFonts w:ascii="Arial" w:hAnsi="Arial" w:cs="Arial"/>
          <w:b/>
          <w:sz w:val="24"/>
          <w:szCs w:val="24"/>
          <w:lang w:eastAsia="ar-SA"/>
        </w:rPr>
        <w:t xml:space="preserve">co musi być potwierdzone w dokumentacji każdego </w:t>
      </w:r>
      <w:r w:rsidRPr="006B1FEE">
        <w:rPr>
          <w:rFonts w:ascii="Arial" w:hAnsi="Arial" w:cs="Arial"/>
          <w:b/>
          <w:sz w:val="24"/>
          <w:szCs w:val="24"/>
          <w:lang w:eastAsia="ar-SA"/>
        </w:rPr>
        <w:br/>
        <w:t>z pojazdów</w:t>
      </w:r>
      <w:r w:rsidRPr="006B1FEE">
        <w:rPr>
          <w:rFonts w:ascii="Arial" w:hAnsi="Arial" w:cs="Arial"/>
          <w:sz w:val="24"/>
          <w:szCs w:val="24"/>
          <w:lang w:eastAsia="ar-SA"/>
        </w:rPr>
        <w:t>.</w:t>
      </w:r>
    </w:p>
    <w:p w:rsidR="006B1FEE" w:rsidRDefault="00A55E61" w:rsidP="00FE7A76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6B1FEE">
        <w:rPr>
          <w:rStyle w:val="WW8Num56z0"/>
          <w:rFonts w:ascii="Arial" w:hAnsi="Arial" w:cs="Arial"/>
          <w:sz w:val="24"/>
          <w:szCs w:val="24"/>
        </w:rPr>
        <w:t xml:space="preserve">Wszystkie </w:t>
      </w:r>
      <w:r w:rsidR="006B1FEE" w:rsidRPr="006B1FEE">
        <w:rPr>
          <w:rFonts w:ascii="Arial" w:hAnsi="Arial" w:cs="Arial"/>
          <w:sz w:val="24"/>
          <w:szCs w:val="24"/>
          <w:lang w:bidi="pl-PL"/>
        </w:rPr>
        <w:t>dostarczane pojazdy muszą być zbudowane z wykorzystaniem pojazdu bazowego w tym samym wariancie homologacyjnym. Pojazd po zabudowie musi być ukompletowany w identyczne i pochodzące od tych samych producentów elementy zabudowy i wyposażenia.</w:t>
      </w:r>
    </w:p>
    <w:p w:rsidR="006B1FEE" w:rsidRDefault="00A55E61" w:rsidP="00B5078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6B1FEE">
        <w:rPr>
          <w:rFonts w:ascii="Arial" w:hAnsi="Arial" w:cs="Arial"/>
          <w:sz w:val="24"/>
          <w:szCs w:val="24"/>
          <w:lang w:eastAsia="ar-SA"/>
        </w:rPr>
        <w:t xml:space="preserve">W celu </w:t>
      </w:r>
      <w:r w:rsidR="006B1FEE" w:rsidRPr="006B1FEE">
        <w:rPr>
          <w:rFonts w:ascii="Arial" w:eastAsia="Courier New" w:hAnsi="Arial" w:cs="Arial"/>
          <w:color w:val="000000"/>
          <w:sz w:val="24"/>
          <w:szCs w:val="24"/>
          <w:lang w:bidi="pl-PL"/>
        </w:rPr>
        <w:t>potwierdzenia spełnienia przez oferowany pojazd poszczególnych punktów specyfikacji technicznej Zamawiający zastrzega sobie prawo do żądania przekazania przez Wykonawcę w każdej fazie realizacji umowy niezbędnych dokumentów, w szczególności dokumentacji technicznej pojazdu i wyników badań laboratoryjnych (w tym np. protokołów z badań).</w:t>
      </w:r>
      <w:r w:rsidRPr="006B1FEE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A55E61" w:rsidRPr="006B1FEE" w:rsidRDefault="006B1FEE" w:rsidP="00B5078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 W fazie </w:t>
      </w:r>
      <w:r w:rsidRPr="006B1FEE">
        <w:rPr>
          <w:rFonts w:ascii="Arial" w:hAnsi="Arial" w:cs="Arial"/>
          <w:sz w:val="24"/>
          <w:szCs w:val="24"/>
          <w:lang w:eastAsia="ar-SA" w:bidi="pl-PL"/>
        </w:rPr>
        <w:t>budowy i oceny projektu modyfikacji pojazdu Wykonawca zobowiązany jest do konsultowania i uzyskania akceptacji przez Zamawiającego proponowanych do zastosowania w pojeździe rozwiązań konstrukcyjnych i funkcjonalnych dotyczących zabudowy i wyposażenia pojazdu.</w:t>
      </w:r>
    </w:p>
    <w:p w:rsidR="00A55E61" w:rsidRPr="006B1FEE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6B1FEE">
        <w:rPr>
          <w:rFonts w:ascii="Arial" w:hAnsi="Arial" w:cs="Arial"/>
          <w:sz w:val="24"/>
          <w:szCs w:val="24"/>
        </w:rPr>
        <w:lastRenderedPageBreak/>
        <w:t xml:space="preserve"> Wykonawca przy planowaniu zabudowy musi w pierwszej kolejności zakładać wykorzystanie wolnych przestrzeni w konstrukcji pojazdu bazowego takich jak : schowki, wnęki itp. W przypadku braku możliwości zabudowy wolnych przestrzeniach Wykonawca musi osłonić dodatkowe zamontowane elementy wyposażenia dedykowanymi metalowymi pokrywami gwarantującymi odpowiedni poziom wentylacji, możliwość serwisu oraz brak dostępu przez osoby nieuprawnione. </w:t>
      </w:r>
    </w:p>
    <w:p w:rsidR="00A55E61" w:rsidRPr="00FA5EC1" w:rsidRDefault="00A55E61" w:rsidP="00FA5EC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6B1FEE">
        <w:rPr>
          <w:rFonts w:ascii="Arial" w:hAnsi="Arial" w:cs="Arial"/>
          <w:sz w:val="24"/>
          <w:szCs w:val="24"/>
          <w:lang w:eastAsia="ar-SA"/>
        </w:rPr>
        <w:t xml:space="preserve"> Wykonawca zobowiązany jest do skompletowania pojazdu bazowego w sposób </w:t>
      </w:r>
      <w:r w:rsidRPr="006B1FEE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6B1FEE" w:rsidRDefault="008B3470" w:rsidP="00A55E61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6B1FEE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6B1FEE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6B1FEE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6B1FEE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6B1FEE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597DDD" w:rsidRPr="006B1FEE">
        <w:rPr>
          <w:rFonts w:ascii="Arial" w:hAnsi="Arial" w:cs="Arial"/>
          <w:i/>
          <w:sz w:val="24"/>
          <w:szCs w:val="24"/>
          <w:lang w:eastAsia="ar-SA"/>
        </w:rPr>
        <w:t xml:space="preserve">samochodu typy furgon </w:t>
      </w:r>
      <w:r w:rsidR="006B1FEE">
        <w:rPr>
          <w:rFonts w:ascii="Arial" w:hAnsi="Arial" w:cs="Arial"/>
          <w:i/>
          <w:sz w:val="24"/>
          <w:szCs w:val="24"/>
          <w:lang w:eastAsia="ar-SA"/>
        </w:rPr>
        <w:t>wypadowy</w:t>
      </w:r>
      <w:r w:rsidR="00597DDD" w:rsidRPr="006B1FEE">
        <w:rPr>
          <w:rFonts w:ascii="Arial" w:hAnsi="Arial" w:cs="Arial"/>
          <w:i/>
          <w:sz w:val="24"/>
          <w:szCs w:val="24"/>
          <w:lang w:eastAsia="ar-SA"/>
        </w:rPr>
        <w:t xml:space="preserve"> w wersji oznakowanej</w:t>
      </w:r>
      <w:r w:rsidR="00F64D94" w:rsidRPr="006B1FEE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6B1FEE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6B1FEE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6B1FEE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6B1FEE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6B1FEE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6B1FEE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>Zmiany adaptacyjne pojazdu, dotyczące montażu policyjnego wyposażenia specjalnego dokonane przez Wykonawcę oraz przez Zamawiającego w trakcie</w:t>
      </w:r>
      <w:r w:rsidRPr="006B1FEE">
        <w:rPr>
          <w:rFonts w:ascii="Arial" w:hAnsi="Arial" w:cs="Arial"/>
          <w:sz w:val="24"/>
          <w:szCs w:val="24"/>
          <w:highlight w:val="yellow"/>
        </w:rPr>
        <w:br/>
        <w:t>eksploatacji pojazdu nie mogą powodować utraty ani ograniczenia uprawnień wynikających z fabrycznej gwarancji producenta samochodu bazowego. Stosowny zapis w tej kwestii musi znaleźć się w książce gwarancyjnej pojazdu i musi być respektowany przez stację obsługi samochodów, których wykaz został wskazany przez Wykonawcę w złożonej ofercie.</w:t>
      </w:r>
    </w:p>
    <w:p w:rsidR="00A55E61" w:rsidRPr="006B1FEE" w:rsidRDefault="00A55E61" w:rsidP="00A55E61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6B1FEE">
        <w:rPr>
          <w:rFonts w:ascii="Arial" w:hAnsi="Arial" w:cs="Arial"/>
          <w:color w:val="000000"/>
          <w:sz w:val="24"/>
          <w:szCs w:val="24"/>
          <w:highlight w:val="yellow"/>
        </w:rPr>
        <w:t xml:space="preserve"> Wyposażenie elektryczne i elektroniczne pojazdu musi poprawnie współpracować </w:t>
      </w:r>
      <w:r w:rsidRPr="006B1FEE">
        <w:rPr>
          <w:rFonts w:ascii="Arial" w:hAnsi="Arial" w:cs="Arial"/>
          <w:color w:val="000000"/>
          <w:sz w:val="24"/>
          <w:szCs w:val="24"/>
          <w:highlight w:val="yellow"/>
        </w:rPr>
        <w:br/>
        <w:t xml:space="preserve">z wyposażeniem pojazdu bazowego oraz zapewniać wymaganą jakość </w:t>
      </w:r>
      <w:r w:rsidRPr="006B1FEE">
        <w:rPr>
          <w:rFonts w:ascii="Arial" w:hAnsi="Arial" w:cs="Arial"/>
          <w:color w:val="000000"/>
          <w:sz w:val="24"/>
          <w:szCs w:val="24"/>
          <w:highlight w:val="yellow"/>
        </w:rPr>
        <w:br/>
        <w:t>i odpowiedni poziom bezpieczeństwa,</w:t>
      </w:r>
    </w:p>
    <w:p w:rsidR="00A55E61" w:rsidRPr="006B1FEE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Wymaga się minimum jednej 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stacji </w:t>
      </w:r>
      <w:r w:rsidRPr="006B1FEE">
        <w:rPr>
          <w:rFonts w:ascii="Arial" w:hAnsi="Arial" w:cs="Arial"/>
          <w:sz w:val="24"/>
          <w:szCs w:val="24"/>
          <w:highlight w:val="yellow"/>
        </w:rPr>
        <w:t>obsługi samochodów spełniających kryteria jakościowe określone dla autoryzowanych stacji obsługi danej marki samochodu na ter</w:t>
      </w:r>
      <w:r w:rsidR="00E130DB" w:rsidRPr="006B1FEE">
        <w:rPr>
          <w:rFonts w:ascii="Arial" w:hAnsi="Arial" w:cs="Arial"/>
          <w:sz w:val="24"/>
          <w:szCs w:val="24"/>
          <w:highlight w:val="yellow"/>
        </w:rPr>
        <w:t>enie województwa dolnośląskiego</w:t>
      </w:r>
      <w:r w:rsidRPr="006B1FEE">
        <w:rPr>
          <w:rFonts w:ascii="Arial" w:hAnsi="Arial" w:cs="Arial"/>
          <w:sz w:val="24"/>
          <w:szCs w:val="24"/>
          <w:highlight w:val="yellow"/>
        </w:rPr>
        <w:t xml:space="preserve">. </w:t>
      </w:r>
    </w:p>
    <w:p w:rsidR="00A55E61" w:rsidRPr="006B1FEE" w:rsidRDefault="00A55E61" w:rsidP="00A55E61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 Do wydawanego pojazdu Wykonawca musi dołączyć w języku polskim następujące dokumenty</w:t>
      </w:r>
      <w:r w:rsidRPr="006B1FEE">
        <w:rPr>
          <w:rFonts w:ascii="Arial" w:hAnsi="Arial" w:cs="Arial"/>
          <w:bCs/>
          <w:sz w:val="24"/>
          <w:szCs w:val="24"/>
          <w:highlight w:val="yellow"/>
          <w:lang w:eastAsia="ar-SA"/>
        </w:rPr>
        <w:t>:</w:t>
      </w:r>
    </w:p>
    <w:p w:rsidR="00A55E61" w:rsidRPr="006B1FEE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książkę gwarancyjną,</w:t>
      </w:r>
    </w:p>
    <w:p w:rsidR="00A55E61" w:rsidRPr="006B1FEE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>wykaz ilościowo – wartościowy wyposażenia znajdującego się na pojeździe,</w:t>
      </w:r>
    </w:p>
    <w:p w:rsidR="00A55E61" w:rsidRPr="006B1FEE" w:rsidRDefault="00A55E61" w:rsidP="00A55E61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b/>
          <w:sz w:val="24"/>
          <w:highlight w:val="yellow"/>
        </w:rPr>
        <w:t>Wykonawca w trakcie realizacji zamówienia przedstawi Zamawiającemu do akceptacji</w:t>
      </w:r>
      <w:r w:rsidRPr="006B1FEE">
        <w:rPr>
          <w:rFonts w:ascii="Arial" w:hAnsi="Arial" w:cs="Arial"/>
          <w:sz w:val="24"/>
          <w:highlight w:val="yellow"/>
        </w:rPr>
        <w:t xml:space="preserve">  </w:t>
      </w:r>
      <w:r w:rsidRPr="006B1FEE">
        <w:rPr>
          <w:rFonts w:ascii="Arial" w:hAnsi="Arial" w:cs="Arial"/>
          <w:b/>
          <w:sz w:val="24"/>
          <w:highlight w:val="yellow"/>
        </w:rPr>
        <w:t>propozycję zawartości wykazu</w:t>
      </w:r>
    </w:p>
    <w:p w:rsidR="00A55E61" w:rsidRPr="006B1FEE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instrukcję obsługi pojazdu bazowego oraz elementów zabudowy 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br/>
        <w:t>i wyposażenia, która musi zawierać (w postaci opisów, schematów, rysunków i zdjęć) zagadnienia związane z:</w:t>
      </w:r>
    </w:p>
    <w:p w:rsidR="00A55E61" w:rsidRPr="006B1FEE" w:rsidRDefault="00A55E61" w:rsidP="00A55E61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lastRenderedPageBreak/>
        <w:t>konstrukcją, obsługą i serwisem pojazdu oraz elementów zabudowy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br/>
        <w:t>i wyposażenia,</w:t>
      </w:r>
    </w:p>
    <w:p w:rsidR="00A55E61" w:rsidRPr="006B1FEE" w:rsidRDefault="00A55E61" w:rsidP="00A55E61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wymaganych terminów przeglądów okresowych i specyfikacji materiałów eksploatacyjnych.  </w:t>
      </w:r>
    </w:p>
    <w:p w:rsidR="00FA5EC1" w:rsidRPr="00FA5EC1" w:rsidRDefault="00FA5EC1" w:rsidP="00FA5EC1">
      <w:pPr>
        <w:pStyle w:val="Akapitzlist"/>
        <w:numPr>
          <w:ilvl w:val="2"/>
          <w:numId w:val="11"/>
        </w:numPr>
        <w:spacing w:line="360" w:lineRule="auto"/>
        <w:ind w:left="2127" w:hanging="284"/>
        <w:rPr>
          <w:rFonts w:ascii="Arial" w:hAnsi="Arial" w:cs="Arial"/>
          <w:sz w:val="24"/>
          <w:szCs w:val="24"/>
          <w:highlight w:val="yellow"/>
          <w:lang w:eastAsia="ar-SA"/>
        </w:rPr>
      </w:pPr>
      <w:r w:rsidRPr="00FA5EC1">
        <w:rPr>
          <w:rFonts w:ascii="Arial" w:hAnsi="Arial" w:cs="Arial"/>
          <w:sz w:val="24"/>
          <w:szCs w:val="24"/>
          <w:highlight w:val="yellow"/>
          <w:lang w:eastAsia="ar-SA"/>
        </w:rPr>
        <w:t>parametrami zastosowanych w pojeździe materiałów użytych dla instalacji łączności radiowej. Ponadto instrukcję instalacji zgodną z ww. wymaganiami. Instrukcja musi zawierać (w postaci nośnika CD oraz wydrukowanych opisów, schematów i zdjęć) zagadnienia związane z miejscami instalacji ww. urządzeń łączności, strojenia anten, z trasami i sposobem prowadzenia przewodów antenowych, zasilających, sygnałowych i sterujących, a także miejscem i sposobem podłączenia zasilania. Dokumentacja i instrukcja instalacji ma być wykonana w języku polskim,</w:t>
      </w:r>
    </w:p>
    <w:p w:rsidR="00A55E61" w:rsidRPr="006B1FEE" w:rsidRDefault="00A55E61" w:rsidP="00A55E61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bezpiecznym użytkowaniem i obsługą pojazdu,</w:t>
      </w:r>
    </w:p>
    <w:p w:rsidR="00F67D80" w:rsidRPr="006B1FEE" w:rsidRDefault="00F67D80" w:rsidP="00F67D80">
      <w:pPr>
        <w:widowControl w:val="0"/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</w:p>
    <w:p w:rsidR="00F67D80" w:rsidRPr="006B1FEE" w:rsidRDefault="00F67D80" w:rsidP="00F67D8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książkę przeglądów serwisowych,</w:t>
      </w:r>
      <w:r w:rsidRPr="006B1FEE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w przypadku dostawy pojazdów wyposażanych dla klientów indywidualnych w wersję papierową tego dokumentu, lub dokument informujący o elektronicznym systemie realizacji przeglądów,</w:t>
      </w:r>
    </w:p>
    <w:p w:rsidR="00F67D80" w:rsidRPr="006B1FEE" w:rsidRDefault="00F67D80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książkę gwarancyjną, w przypadku dostawy pojazdów wyposażanych dla klientów indywidualnych w wersję papierową tego dokumentu, lub dokument informujący o elektronicznym systemie realizacji gwarancji,</w:t>
      </w:r>
    </w:p>
    <w:p w:rsidR="00A55E61" w:rsidRPr="006B1FEE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świadectwo zgodności WE pojazdu bazowego wraz z oświadczeniem producenta/importera potwierdzającym dane pojazdu nie znajdujące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br/>
        <w:t>się w świadectwie zgodności, a niezbędne do zarejestrowania pojazdu,</w:t>
      </w:r>
    </w:p>
    <w:p w:rsidR="00A55E61" w:rsidRPr="006B1FEE" w:rsidRDefault="00A55E61" w:rsidP="00A55E6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miejsc, oraz 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br/>
        <w:t xml:space="preserve">o przeprowadzeniu badania technicznego przed dopuszczeniem do ruchu pojazdu uprzywilejowanego, zgodnie z </w:t>
      </w:r>
      <w:r w:rsidRPr="006B1FEE">
        <w:rPr>
          <w:rFonts w:ascii="Arial" w:hAnsi="Arial" w:cs="Arial"/>
          <w:i/>
          <w:sz w:val="24"/>
          <w:szCs w:val="24"/>
          <w:highlight w:val="yellow"/>
          <w:lang w:eastAsia="ar-SA"/>
        </w:rPr>
        <w:t>Ustawą z dnia 20 czerwca 1997 r. Prawo o ruchu drogowym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 (tekst jedn. </w:t>
      </w:r>
      <w:r w:rsidR="00F67D80" w:rsidRPr="006B1FEE">
        <w:rPr>
          <w:rFonts w:ascii="Arial" w:hAnsi="Arial" w:cs="Arial"/>
          <w:sz w:val="24"/>
          <w:szCs w:val="24"/>
          <w:highlight w:val="yellow"/>
          <w:lang w:eastAsia="ar-SA"/>
        </w:rPr>
        <w:t>Dz. U. 2023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 r., poz. </w:t>
      </w:r>
      <w:r w:rsidR="00F67D80" w:rsidRPr="006B1FEE">
        <w:rPr>
          <w:rFonts w:ascii="Arial" w:hAnsi="Arial" w:cs="Arial"/>
          <w:sz w:val="24"/>
          <w:szCs w:val="24"/>
          <w:highlight w:val="yellow"/>
          <w:lang w:eastAsia="ar-SA"/>
        </w:rPr>
        <w:t>1047</w:t>
      </w: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, ze. zm.),</w:t>
      </w:r>
    </w:p>
    <w:p w:rsidR="00A55E61" w:rsidRPr="006B1FEE" w:rsidRDefault="00A55E61" w:rsidP="00E130DB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Wykaz</w:t>
      </w:r>
      <w:r w:rsidR="0093005B" w:rsidRPr="006B1FEE">
        <w:rPr>
          <w:rFonts w:ascii="Arial" w:hAnsi="Arial" w:cs="Arial"/>
          <w:sz w:val="24"/>
          <w:szCs w:val="24"/>
          <w:highlight w:val="yellow"/>
          <w:lang w:eastAsia="ar-SA"/>
        </w:rPr>
        <w:t xml:space="preserve"> stosowanych płynów eksploatacyjnych, olei i smarów </w:t>
      </w:r>
      <w:r w:rsidR="0093005B" w:rsidRPr="006B1FEE">
        <w:rPr>
          <w:rFonts w:ascii="Arial" w:hAnsi="Arial" w:cs="Arial"/>
          <w:sz w:val="24"/>
          <w:szCs w:val="24"/>
          <w:highlight w:val="yellow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A55E61" w:rsidRPr="006B1FEE" w:rsidRDefault="00A55E61" w:rsidP="00E130DB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highlight w:val="yellow"/>
          <w:lang w:eastAsia="ar-SA"/>
        </w:rPr>
      </w:pPr>
      <w:r w:rsidRPr="006B1FEE">
        <w:rPr>
          <w:rFonts w:ascii="Arial" w:hAnsi="Arial" w:cs="Arial"/>
          <w:sz w:val="24"/>
          <w:szCs w:val="24"/>
          <w:highlight w:val="yellow"/>
          <w:lang w:eastAsia="ar-SA"/>
        </w:rPr>
        <w:t>inne dokumenty określone w załącznikach 1, 1.1, 1.2, 1.3 i 1.4 do SWZ.</w:t>
      </w:r>
    </w:p>
    <w:p w:rsidR="00A55E61" w:rsidRPr="006B1FEE" w:rsidRDefault="00A55E61" w:rsidP="00A55E61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highlight w:val="yellow"/>
          <w:lang w:eastAsia="ar-SA"/>
        </w:rPr>
      </w:pP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8E71D2" w:rsidRPr="008E71D2" w:rsidRDefault="00A55E61" w:rsidP="008E71D2">
      <w:pPr>
        <w:numPr>
          <w:ilvl w:val="0"/>
          <w:numId w:val="11"/>
        </w:numPr>
        <w:shd w:val="clear" w:color="auto" w:fill="FFFF0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71D2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8E71D2" w:rsidRPr="008E71D2">
        <w:rPr>
          <w:rFonts w:ascii="Arial" w:hAnsi="Arial" w:cs="Arial"/>
          <w:sz w:val="24"/>
          <w:szCs w:val="24"/>
        </w:rPr>
        <w:t>Wykonawca przeprowadzi na swój koszt na terenie Polski w miejscu i terminie zaakceptowanym przez Zamawiającego (po zatwierdzeniu modyfikacji pojazdu i przed odbiorem pojazdów) szkolenie dla maksymalnie 34 przedstawicieli użytkowników z zakresu obsługi pojazdu bazowego wraz z zabudową. Szkolenie</w:t>
      </w:r>
    </w:p>
    <w:p w:rsidR="008E71D2" w:rsidRPr="008E71D2" w:rsidRDefault="008E71D2" w:rsidP="008E71D2">
      <w:pPr>
        <w:shd w:val="clear" w:color="auto" w:fill="FFFF00"/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8E71D2">
        <w:rPr>
          <w:rFonts w:ascii="Arial" w:hAnsi="Arial" w:cs="Arial"/>
          <w:sz w:val="24"/>
          <w:szCs w:val="24"/>
        </w:rPr>
        <w:t>musi być przeprowadzone z wykorzystaniem pojazdu wykonanego zgodnie z zatwierdzoną modyfikacją pojazdu. Czas szkolenia musi wynieść min. 8 godzin. Jednostki organizacyjne Policji pokryją koszty transportu przedstawicieli użytkowników natomiast wszystkie inne koszty związane ze szkoleniem pokrywa Wykonawca. Wykonawca przedstawi Zamawiającemu do akceptacji harmonogram szkolenia. Szkolenie będzie zakończone wydaniem dla każdego z przeszkolonych przedstawicieli użytkowników imiennego zaświadczenia lub świadectwa potwierdzającego udział w szkoleniu i zawierającego informację o jego zakresie (kopia ww. zaświadczenia lub świadectwa wraz z listą obecności, zostanie przekazana do siedziby Zamawiającego.</w:t>
      </w:r>
    </w:p>
    <w:p w:rsidR="00A55E61" w:rsidRPr="008E71D2" w:rsidRDefault="00A55E61" w:rsidP="000061D5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 w:rsidRPr="008E71D2">
        <w:rPr>
          <w:rFonts w:ascii="Arial" w:hAnsi="Arial" w:cs="Arial"/>
          <w:sz w:val="24"/>
          <w:szCs w:val="24"/>
          <w:highlight w:val="yellow"/>
        </w:rPr>
        <w:t xml:space="preserve"> Konstrukcja pojazdu oraz wyposażenia musi być oparta na dostępnych na rynku krajowym zespołach, podzespołach i elementach oraz materiałach.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Wszystkie urządzenia pojazdu muszą mieć budowę blokowo-modułową i być zamocowane w pojeździe w sposób nie utrudniający dostępu do innych zespołów    i urządzeń.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Wszystkie urządzenia pojazdu muszą mieć zwartą budowę i uwzględniać zdobycze techniki w zakresie miniaturyzacji.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Każdy Pojazd nie wymaga pakowania i po przekazaniu Zamawiającemu musi być gotowy do użycia.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Każdy Pojazd wraz z wyposażeniem musi być przystosowany do przechowywania na wolnym powietrzu w niezadaszonych parkach sprzętu transportowego </w:t>
      </w:r>
      <w:r w:rsidRPr="006B1FEE">
        <w:rPr>
          <w:rFonts w:ascii="Arial" w:hAnsi="Arial" w:cs="Arial"/>
          <w:sz w:val="24"/>
          <w:szCs w:val="24"/>
          <w:highlight w:val="yellow"/>
        </w:rPr>
        <w:br/>
        <w:t xml:space="preserve">w warunkach atmosferycznych spotykanych w polskiej strefie klimatycznej opisanych w pkt 4. 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lastRenderedPageBreak/>
        <w:t xml:space="preserve"> Każdy Pojazd musi być przystosowany do transportu środkami transportu kołowego. Załadunek pojazdu musi odbywać się samodzielnie (na kołach).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637920" w:rsidRPr="006B1FEE" w:rsidRDefault="00637920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W przypadku wykonywania do montażu elementów zabudowy na drukarce 3D Wykonawca dołączy w formie elektronicznej na nośniku danych tzw. </w:t>
      </w:r>
      <w:proofErr w:type="spellStart"/>
      <w:r w:rsidRPr="006B1FEE">
        <w:rPr>
          <w:rFonts w:ascii="Arial" w:hAnsi="Arial" w:cs="Arial"/>
          <w:sz w:val="24"/>
          <w:szCs w:val="24"/>
          <w:highlight w:val="yellow"/>
        </w:rPr>
        <w:t>pendriv</w:t>
      </w:r>
      <w:proofErr w:type="spellEnd"/>
      <w:r w:rsidRPr="006B1FEE">
        <w:rPr>
          <w:rFonts w:ascii="Arial" w:hAnsi="Arial" w:cs="Arial"/>
          <w:sz w:val="24"/>
          <w:szCs w:val="24"/>
          <w:highlight w:val="yellow"/>
        </w:rPr>
        <w:t xml:space="preserve"> szablon takich elementów, które to w przypadku ich uszkodzenia np. w wyniku kolizji drogowej -  Zamawiający będzie mógł samodzielnie je wydrukować na drukarce 3D uszkodzone elementy i dokonał ich  wymiany.  </w:t>
      </w:r>
    </w:p>
    <w:p w:rsidR="00A55E61" w:rsidRPr="006B1FEE" w:rsidRDefault="00A55E61" w:rsidP="00A55E6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Zamawiający nie przewiduje przeprowadzania badań odbiorczych.</w:t>
      </w:r>
    </w:p>
    <w:p w:rsidR="00420C79" w:rsidRPr="000A37E8" w:rsidRDefault="00A55E61" w:rsidP="000A37E8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B1FEE">
        <w:rPr>
          <w:rFonts w:ascii="Arial" w:hAnsi="Arial" w:cs="Arial"/>
          <w:sz w:val="24"/>
          <w:szCs w:val="24"/>
          <w:highlight w:val="yellow"/>
        </w:rPr>
        <w:t xml:space="preserve"> Po zakończonym odbiorze pojazdów z wynikiem pozytywnym poziom paliwa </w:t>
      </w:r>
      <w:r w:rsidRPr="006B1FEE">
        <w:rPr>
          <w:rFonts w:ascii="Arial" w:hAnsi="Arial" w:cs="Arial"/>
          <w:sz w:val="24"/>
          <w:szCs w:val="24"/>
          <w:highlight w:val="yellow"/>
        </w:rPr>
        <w:br/>
        <w:t>w każdym samochodzie musi być powyżej rezerwy</w:t>
      </w:r>
      <w:r w:rsidRPr="00713B11">
        <w:rPr>
          <w:rFonts w:ascii="Arial" w:hAnsi="Arial" w:cs="Arial"/>
          <w:sz w:val="24"/>
          <w:szCs w:val="24"/>
        </w:rPr>
        <w:t>.</w:t>
      </w:r>
    </w:p>
    <w:sectPr w:rsidR="00420C79" w:rsidRPr="000A37E8" w:rsidSect="000A37E8">
      <w:headerReference w:type="default" r:id="rId8"/>
      <w:footerReference w:type="default" r:id="rId9"/>
      <w:type w:val="oddPage"/>
      <w:pgSz w:w="11907" w:h="16840" w:code="9"/>
      <w:pgMar w:top="142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ED7" w:rsidRDefault="00993ED7" w:rsidP="00C479A8">
      <w:r>
        <w:separator/>
      </w:r>
    </w:p>
  </w:endnote>
  <w:endnote w:type="continuationSeparator" w:id="0">
    <w:p w:rsidR="00993ED7" w:rsidRDefault="00993ED7" w:rsidP="00C4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B9081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B90818" w:rsidRPr="009D4CE9">
      <w:rPr>
        <w:rFonts w:ascii="Arial" w:hAnsi="Arial" w:cs="Arial"/>
        <w:sz w:val="16"/>
        <w:szCs w:val="16"/>
      </w:rPr>
      <w:fldChar w:fldCharType="separate"/>
    </w:r>
    <w:r w:rsidR="000A37E8">
      <w:rPr>
        <w:rFonts w:ascii="Arial" w:hAnsi="Arial" w:cs="Arial"/>
        <w:noProof/>
        <w:sz w:val="16"/>
        <w:szCs w:val="16"/>
      </w:rPr>
      <w:t>5</w:t>
    </w:r>
    <w:r w:rsidR="00B90818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B90818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B90818" w:rsidRPr="009D4CE9">
      <w:rPr>
        <w:rFonts w:ascii="Arial" w:hAnsi="Arial" w:cs="Arial"/>
        <w:sz w:val="16"/>
        <w:szCs w:val="16"/>
      </w:rPr>
      <w:fldChar w:fldCharType="separate"/>
    </w:r>
    <w:r w:rsidR="000A37E8">
      <w:rPr>
        <w:rFonts w:ascii="Arial" w:hAnsi="Arial" w:cs="Arial"/>
        <w:noProof/>
        <w:sz w:val="16"/>
        <w:szCs w:val="16"/>
      </w:rPr>
      <w:t>6</w:t>
    </w:r>
    <w:r w:rsidR="00B90818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ED7" w:rsidRDefault="00993ED7" w:rsidP="00C479A8">
      <w:r>
        <w:separator/>
      </w:r>
    </w:p>
  </w:footnote>
  <w:footnote w:type="continuationSeparator" w:id="0">
    <w:p w:rsidR="00993ED7" w:rsidRDefault="00993ED7" w:rsidP="00C47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9AF" w:rsidRPr="00863699" w:rsidRDefault="00DC29AF" w:rsidP="00DC29AF">
    <w:pPr>
      <w:pStyle w:val="Nagwek"/>
      <w:jc w:val="center"/>
      <w:rPr>
        <w:b/>
        <w:i/>
      </w:rPr>
    </w:pPr>
  </w:p>
  <w:p w:rsidR="00DC29AF" w:rsidRDefault="00DC29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8" w15:restartNumberingAfterBreak="0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5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6" w15:restartNumberingAfterBreak="0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0" w15:restartNumberingAfterBreak="0">
    <w:nsid w:val="7B0F3422"/>
    <w:multiLevelType w:val="multilevel"/>
    <w:tmpl w:val="8236E59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1"/>
  </w:num>
  <w:num w:numId="5">
    <w:abstractNumId w:val="7"/>
  </w:num>
  <w:num w:numId="6">
    <w:abstractNumId w:val="13"/>
  </w:num>
  <w:num w:numId="7">
    <w:abstractNumId w:val="16"/>
  </w:num>
  <w:num w:numId="8">
    <w:abstractNumId w:val="8"/>
  </w:num>
  <w:num w:numId="9">
    <w:abstractNumId w:val="2"/>
  </w:num>
  <w:num w:numId="10">
    <w:abstractNumId w:val="18"/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3"/>
  </w:num>
  <w:num w:numId="16">
    <w:abstractNumId w:val="19"/>
  </w:num>
  <w:num w:numId="17">
    <w:abstractNumId w:val="9"/>
  </w:num>
  <w:num w:numId="18">
    <w:abstractNumId w:val="15"/>
  </w:num>
  <w:num w:numId="19">
    <w:abstractNumId w:val="1"/>
  </w:num>
  <w:num w:numId="20">
    <w:abstractNumId w:val="17"/>
  </w:num>
  <w:num w:numId="21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143"/>
    <w:rsid w:val="0000044C"/>
    <w:rsid w:val="00005A6E"/>
    <w:rsid w:val="000071A4"/>
    <w:rsid w:val="00007584"/>
    <w:rsid w:val="0002154F"/>
    <w:rsid w:val="00023B64"/>
    <w:rsid w:val="000344A4"/>
    <w:rsid w:val="00036318"/>
    <w:rsid w:val="00037B25"/>
    <w:rsid w:val="000401F0"/>
    <w:rsid w:val="0004120C"/>
    <w:rsid w:val="00054E51"/>
    <w:rsid w:val="00056F81"/>
    <w:rsid w:val="00061F70"/>
    <w:rsid w:val="000630CE"/>
    <w:rsid w:val="00064655"/>
    <w:rsid w:val="00075EE7"/>
    <w:rsid w:val="00075FE2"/>
    <w:rsid w:val="0008094D"/>
    <w:rsid w:val="000951B7"/>
    <w:rsid w:val="000A25AA"/>
    <w:rsid w:val="000A37E8"/>
    <w:rsid w:val="000A42BE"/>
    <w:rsid w:val="000C393F"/>
    <w:rsid w:val="000C4589"/>
    <w:rsid w:val="000C7B4F"/>
    <w:rsid w:val="000E3D13"/>
    <w:rsid w:val="000E684B"/>
    <w:rsid w:val="000E6BD0"/>
    <w:rsid w:val="000F13EE"/>
    <w:rsid w:val="00120E52"/>
    <w:rsid w:val="001274AD"/>
    <w:rsid w:val="0013236D"/>
    <w:rsid w:val="00134C1C"/>
    <w:rsid w:val="00146699"/>
    <w:rsid w:val="001477D5"/>
    <w:rsid w:val="001506BF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6012"/>
    <w:rsid w:val="001C3101"/>
    <w:rsid w:val="001C5598"/>
    <w:rsid w:val="001D3D36"/>
    <w:rsid w:val="002074FD"/>
    <w:rsid w:val="00211554"/>
    <w:rsid w:val="00214B01"/>
    <w:rsid w:val="00217F7D"/>
    <w:rsid w:val="00220DD3"/>
    <w:rsid w:val="0023242D"/>
    <w:rsid w:val="00233F71"/>
    <w:rsid w:val="002558F3"/>
    <w:rsid w:val="00262D05"/>
    <w:rsid w:val="00263D68"/>
    <w:rsid w:val="0026640B"/>
    <w:rsid w:val="002674A5"/>
    <w:rsid w:val="002823C4"/>
    <w:rsid w:val="0028463B"/>
    <w:rsid w:val="002915E9"/>
    <w:rsid w:val="002A5640"/>
    <w:rsid w:val="002B6CE1"/>
    <w:rsid w:val="002C4202"/>
    <w:rsid w:val="002D1636"/>
    <w:rsid w:val="002E567E"/>
    <w:rsid w:val="002E6262"/>
    <w:rsid w:val="003056F1"/>
    <w:rsid w:val="00306AA6"/>
    <w:rsid w:val="0031053F"/>
    <w:rsid w:val="00322D1E"/>
    <w:rsid w:val="003230C3"/>
    <w:rsid w:val="00351F64"/>
    <w:rsid w:val="00362670"/>
    <w:rsid w:val="00364DDE"/>
    <w:rsid w:val="00366003"/>
    <w:rsid w:val="00367C38"/>
    <w:rsid w:val="0037690C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2DD3"/>
    <w:rsid w:val="003F7AC1"/>
    <w:rsid w:val="0040609A"/>
    <w:rsid w:val="004136A9"/>
    <w:rsid w:val="00420C79"/>
    <w:rsid w:val="00431361"/>
    <w:rsid w:val="00434BFF"/>
    <w:rsid w:val="00460F66"/>
    <w:rsid w:val="0046369E"/>
    <w:rsid w:val="00464E03"/>
    <w:rsid w:val="004653D5"/>
    <w:rsid w:val="00472E31"/>
    <w:rsid w:val="0048223D"/>
    <w:rsid w:val="00483E58"/>
    <w:rsid w:val="0048458C"/>
    <w:rsid w:val="00494B96"/>
    <w:rsid w:val="00496AC0"/>
    <w:rsid w:val="004A5A7E"/>
    <w:rsid w:val="004B1D43"/>
    <w:rsid w:val="004B6FE1"/>
    <w:rsid w:val="004C4994"/>
    <w:rsid w:val="004F1615"/>
    <w:rsid w:val="004F5518"/>
    <w:rsid w:val="004F7268"/>
    <w:rsid w:val="00513C34"/>
    <w:rsid w:val="005178C5"/>
    <w:rsid w:val="00523EB7"/>
    <w:rsid w:val="00527E30"/>
    <w:rsid w:val="00532EB3"/>
    <w:rsid w:val="00544EF5"/>
    <w:rsid w:val="005455C8"/>
    <w:rsid w:val="00546325"/>
    <w:rsid w:val="00553498"/>
    <w:rsid w:val="00554DF7"/>
    <w:rsid w:val="00563CFB"/>
    <w:rsid w:val="005659CA"/>
    <w:rsid w:val="00571CDC"/>
    <w:rsid w:val="0059169D"/>
    <w:rsid w:val="00597DDD"/>
    <w:rsid w:val="005A76A0"/>
    <w:rsid w:val="005B5D93"/>
    <w:rsid w:val="005B65AB"/>
    <w:rsid w:val="005B7FE8"/>
    <w:rsid w:val="0061062E"/>
    <w:rsid w:val="0061088F"/>
    <w:rsid w:val="00624E26"/>
    <w:rsid w:val="00626393"/>
    <w:rsid w:val="006338FB"/>
    <w:rsid w:val="00633C8C"/>
    <w:rsid w:val="006347D8"/>
    <w:rsid w:val="00637920"/>
    <w:rsid w:val="0064047D"/>
    <w:rsid w:val="00652A57"/>
    <w:rsid w:val="00661131"/>
    <w:rsid w:val="006634F3"/>
    <w:rsid w:val="006811E0"/>
    <w:rsid w:val="0068634A"/>
    <w:rsid w:val="006A2330"/>
    <w:rsid w:val="006B1FEE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4587"/>
    <w:rsid w:val="00722CB7"/>
    <w:rsid w:val="00723252"/>
    <w:rsid w:val="00725F68"/>
    <w:rsid w:val="007276AD"/>
    <w:rsid w:val="007302D6"/>
    <w:rsid w:val="00730AEE"/>
    <w:rsid w:val="00744326"/>
    <w:rsid w:val="00754062"/>
    <w:rsid w:val="00777E81"/>
    <w:rsid w:val="007A0638"/>
    <w:rsid w:val="007A085C"/>
    <w:rsid w:val="007B53EE"/>
    <w:rsid w:val="007B61E0"/>
    <w:rsid w:val="007D4457"/>
    <w:rsid w:val="007D749D"/>
    <w:rsid w:val="007E5277"/>
    <w:rsid w:val="007F0992"/>
    <w:rsid w:val="007F3B51"/>
    <w:rsid w:val="007F7539"/>
    <w:rsid w:val="00816DDA"/>
    <w:rsid w:val="008223AA"/>
    <w:rsid w:val="00824095"/>
    <w:rsid w:val="00827A40"/>
    <w:rsid w:val="00831F30"/>
    <w:rsid w:val="00854D23"/>
    <w:rsid w:val="00873585"/>
    <w:rsid w:val="00876D75"/>
    <w:rsid w:val="008864FD"/>
    <w:rsid w:val="00893123"/>
    <w:rsid w:val="00895DFA"/>
    <w:rsid w:val="008B32B7"/>
    <w:rsid w:val="008B3470"/>
    <w:rsid w:val="008D7F34"/>
    <w:rsid w:val="008E2B2B"/>
    <w:rsid w:val="008E66CB"/>
    <w:rsid w:val="008E6BE6"/>
    <w:rsid w:val="008E71D2"/>
    <w:rsid w:val="008F197D"/>
    <w:rsid w:val="008F3116"/>
    <w:rsid w:val="008F70EB"/>
    <w:rsid w:val="00907C22"/>
    <w:rsid w:val="0091499E"/>
    <w:rsid w:val="009152DE"/>
    <w:rsid w:val="009230F5"/>
    <w:rsid w:val="0093005B"/>
    <w:rsid w:val="00930992"/>
    <w:rsid w:val="0094033B"/>
    <w:rsid w:val="00942625"/>
    <w:rsid w:val="009539A2"/>
    <w:rsid w:val="00954692"/>
    <w:rsid w:val="0097058C"/>
    <w:rsid w:val="00983407"/>
    <w:rsid w:val="00991CB6"/>
    <w:rsid w:val="00993ED7"/>
    <w:rsid w:val="009A0AE5"/>
    <w:rsid w:val="009B67FF"/>
    <w:rsid w:val="009C4533"/>
    <w:rsid w:val="009C6F18"/>
    <w:rsid w:val="009C7CF6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3331A"/>
    <w:rsid w:val="00A35342"/>
    <w:rsid w:val="00A35FBD"/>
    <w:rsid w:val="00A55E61"/>
    <w:rsid w:val="00A71215"/>
    <w:rsid w:val="00A71EEC"/>
    <w:rsid w:val="00A77C24"/>
    <w:rsid w:val="00AA1F6D"/>
    <w:rsid w:val="00AA68F1"/>
    <w:rsid w:val="00AC1243"/>
    <w:rsid w:val="00AD1185"/>
    <w:rsid w:val="00AE6C8F"/>
    <w:rsid w:val="00AF6337"/>
    <w:rsid w:val="00B018ED"/>
    <w:rsid w:val="00B04035"/>
    <w:rsid w:val="00B06651"/>
    <w:rsid w:val="00B06C65"/>
    <w:rsid w:val="00B2052B"/>
    <w:rsid w:val="00B21292"/>
    <w:rsid w:val="00B267A4"/>
    <w:rsid w:val="00B270BC"/>
    <w:rsid w:val="00B411B1"/>
    <w:rsid w:val="00B44FE5"/>
    <w:rsid w:val="00B561C1"/>
    <w:rsid w:val="00B66529"/>
    <w:rsid w:val="00B66BB0"/>
    <w:rsid w:val="00B71577"/>
    <w:rsid w:val="00B85BE4"/>
    <w:rsid w:val="00B87E77"/>
    <w:rsid w:val="00B90262"/>
    <w:rsid w:val="00B90818"/>
    <w:rsid w:val="00B90978"/>
    <w:rsid w:val="00B90CC4"/>
    <w:rsid w:val="00B96D38"/>
    <w:rsid w:val="00BB26DE"/>
    <w:rsid w:val="00BC2A68"/>
    <w:rsid w:val="00BC64C9"/>
    <w:rsid w:val="00BD4FCD"/>
    <w:rsid w:val="00BD7083"/>
    <w:rsid w:val="00BE25A0"/>
    <w:rsid w:val="00BF1306"/>
    <w:rsid w:val="00BF3852"/>
    <w:rsid w:val="00BF48C0"/>
    <w:rsid w:val="00C0337D"/>
    <w:rsid w:val="00C109AA"/>
    <w:rsid w:val="00C139A6"/>
    <w:rsid w:val="00C21661"/>
    <w:rsid w:val="00C25D39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0E6C"/>
    <w:rsid w:val="00CB1FD7"/>
    <w:rsid w:val="00CB39E3"/>
    <w:rsid w:val="00CB6577"/>
    <w:rsid w:val="00CC1EB0"/>
    <w:rsid w:val="00CD3612"/>
    <w:rsid w:val="00CE1D54"/>
    <w:rsid w:val="00CE5190"/>
    <w:rsid w:val="00CF41B0"/>
    <w:rsid w:val="00D3025B"/>
    <w:rsid w:val="00D46F00"/>
    <w:rsid w:val="00D57331"/>
    <w:rsid w:val="00D57B17"/>
    <w:rsid w:val="00D87003"/>
    <w:rsid w:val="00DA1BA2"/>
    <w:rsid w:val="00DA2693"/>
    <w:rsid w:val="00DB73BC"/>
    <w:rsid w:val="00DC02FF"/>
    <w:rsid w:val="00DC29AF"/>
    <w:rsid w:val="00DD2ABF"/>
    <w:rsid w:val="00DE3749"/>
    <w:rsid w:val="00DF52A3"/>
    <w:rsid w:val="00E130DB"/>
    <w:rsid w:val="00E16268"/>
    <w:rsid w:val="00E164DC"/>
    <w:rsid w:val="00E175FF"/>
    <w:rsid w:val="00E33043"/>
    <w:rsid w:val="00E331CF"/>
    <w:rsid w:val="00E3482A"/>
    <w:rsid w:val="00E40AAA"/>
    <w:rsid w:val="00E6462C"/>
    <w:rsid w:val="00E67D3D"/>
    <w:rsid w:val="00E67FF1"/>
    <w:rsid w:val="00E73C8C"/>
    <w:rsid w:val="00E862FE"/>
    <w:rsid w:val="00E86689"/>
    <w:rsid w:val="00E87E5F"/>
    <w:rsid w:val="00E958DE"/>
    <w:rsid w:val="00E973BC"/>
    <w:rsid w:val="00EA7B5F"/>
    <w:rsid w:val="00EB691F"/>
    <w:rsid w:val="00EB6E17"/>
    <w:rsid w:val="00EF4ECC"/>
    <w:rsid w:val="00EF5739"/>
    <w:rsid w:val="00F070B8"/>
    <w:rsid w:val="00F11719"/>
    <w:rsid w:val="00F126EB"/>
    <w:rsid w:val="00F16F94"/>
    <w:rsid w:val="00F1743F"/>
    <w:rsid w:val="00F22749"/>
    <w:rsid w:val="00F25A28"/>
    <w:rsid w:val="00F2770D"/>
    <w:rsid w:val="00F438A9"/>
    <w:rsid w:val="00F602E7"/>
    <w:rsid w:val="00F60794"/>
    <w:rsid w:val="00F64D94"/>
    <w:rsid w:val="00F67D80"/>
    <w:rsid w:val="00F67EA5"/>
    <w:rsid w:val="00F81A2C"/>
    <w:rsid w:val="00FA1F1E"/>
    <w:rsid w:val="00FA5EC1"/>
    <w:rsid w:val="00FB5674"/>
    <w:rsid w:val="00FC1CBB"/>
    <w:rsid w:val="00FC521E"/>
    <w:rsid w:val="00FD3941"/>
    <w:rsid w:val="00FE13B5"/>
    <w:rsid w:val="00FE69F4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398D89-F5AA-428B-8686-9BAEE979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62670"/>
  </w:style>
  <w:style w:type="paragraph" w:styleId="Nagwek1">
    <w:name w:val="heading 1"/>
    <w:basedOn w:val="Normalny"/>
    <w:next w:val="Normalny"/>
    <w:qFormat/>
    <w:rsid w:val="00362670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362670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362670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62670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362670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362670"/>
    <w:pPr>
      <w:spacing w:line="360" w:lineRule="auto"/>
      <w:jc w:val="both"/>
    </w:pPr>
  </w:style>
  <w:style w:type="paragraph" w:customStyle="1" w:styleId="Standardowy1">
    <w:name w:val="Standardowy1"/>
    <w:rsid w:val="00362670"/>
    <w:rPr>
      <w:sz w:val="24"/>
    </w:rPr>
  </w:style>
  <w:style w:type="paragraph" w:styleId="Tekstpodstawowy3">
    <w:name w:val="Body Text 3"/>
    <w:basedOn w:val="Normalny"/>
    <w:rsid w:val="00362670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362670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362670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362670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362670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362670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010B2-6D1B-4DC3-9DF8-C5E9509F5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1962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JACEK KĘDZIERSKI</cp:lastModifiedBy>
  <cp:revision>5</cp:revision>
  <cp:lastPrinted>2020-05-13T11:02:00Z</cp:lastPrinted>
  <dcterms:created xsi:type="dcterms:W3CDTF">2025-06-02T09:46:00Z</dcterms:created>
  <dcterms:modified xsi:type="dcterms:W3CDTF">2025-08-29T10:42:00Z</dcterms:modified>
</cp:coreProperties>
</file>